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323</w:t>
      </w:r>
    </w:p>
    <w:p>
      <w:r>
        <w:t>Bundesgericht (BGE), 2002-07-15, DE</w:t>
      </w:r>
    </w:p>
    <w:p>
      <w:r>
        <w:rPr>
          <w:b/>
        </w:rPr>
        <w:t xml:space="preserve">Quelle: </w:t>
      </w:r>
      <w:r>
        <w:t>https://mcp.opencaselaw.ch/entscheid/bge_128 V 323</w:t>
      </w:r>
    </w:p>
    <w:p>
      <w:r>
        <w:t>FR: ATF 128 V 323</w:t>
      </w:r>
    </w:p>
    <w:p>
      <w:r>
        <w:t>IT: DTF 128 V 323</w:t>
      </w:r>
    </w:p>
    <w:p>
      <w:pPr>
        <w:pStyle w:val="Heading2"/>
      </w:pPr>
      <w:r>
        <w:t>Regeste</w:t>
      </w:r>
    </w:p>
    <w:p>
      <w:r>
        <w:t>Regeste Art. 73 Abs. 2 BVG: Parteientschädigung an obsiegende Sozialversicherungsträger. Im kantonalen Verfahren obsiegende Sozialversicherer, die anwaltlich oder sonst wie qualifiziert vertreten sind, haben Anspruch auf Parteientschädigung, wenn die Prozessführung der Gegenpartei als mutwillig oder leichtsinnig zu bezeichnen ist. Fehlt eine solche Vertretung, müssen zusätzlich zu Mutwilligkeit oder Leichtsinn die Voraussetzungen für die Parteientschädigungsberechtigung einer unvertretenen Partei erfüllt sein.</w:t>
      </w:r>
    </w:p>
    <w:p>
      <w:pPr>
        <w:pStyle w:val="Heading2"/>
      </w:pPr>
      <w:r>
        <w:t>Erwägungen</w:t>
      </w:r>
    </w:p>
    <w:p>
      <w:r>
        <w:rPr>
          <w:b/>
        </w:rPr>
        <w:t>E. 1</w:t>
      </w:r>
    </w:p>
    <w:p>
      <w:r>
        <w:t>a) Die bundesrechtliche Minimalanforderung der Kostenlosigkeit des Verfahrens nach Art. 73 Abs. 2 BVG steht unter dem Vorbehalt des allgemeinen sozialversicherungsrechtlichen Verfahrensgrundsatzes, dass die Partei nicht in Mutwilligkeit oder Leichtsinn verfallen ist ( BGE 118 V 316 und seitherige ständige Rechtsprechung; vgl. BGE 126 V 149 Erw. 4a, BGE 124 V 287 Erw. 3a). Die Bejahung einer mutwilligen oder leichtsinnigen Prozessführung führt nicht nur zur Pflicht, die Verfahrenskosten zu tragen ( BGE 118 V 316 ), sondern begründet auch die Pflicht, die obsiegende Vorsorgeeinrichtung, soweit anwaltlich vertreten, zu entschädigen, vorausgesetzt es finde sich im kantonalen Verfahrensrecht für einen solchen Parteientschädigungsanspruch die erforderliche gesetzliche BGE 128 V 323 S. 324 Grundlage ( BGE 126 V 143 ). Soweit eine Vorsorgeeinrichtung nicht anwaltlich (oder sonst wie qualifiziert, d.h. im Rahmen eines den Ersatz der Verbeiständungskosten begründenden Mandatsverhältnisses mit einer Fachperson) vertreten ist, müssen zusätzlich zu Mutwilligkeit oder Leichtsinn die für die Parteientschädigungsberechtigung massgeblichen Kriterien im Falle einer nicht vertretenen Partei erfüllt sein ( BGE 127 V 205 ). b) Die Begriffe der Mutwilligkeit und des Leichtsinns gehören dem Bundesrecht an. Ihre Tatbestände können als erfüllt betrachtet werden, wenn eine Partei Tatsachen wider besseres Wissen als wahr behauptet oder ihre Stellungnahme auf einen Sachverhalt abstützt, von dem sie bei der ihr zumutbaren Sorgfalt wissen müsste, dass er unrichtig ist. Mutwillig ist ferner das Festhalten an einer offensichtlich gesetzwidrigen Auffassung (SZS 1999 S. 69 Erw. 6b). Leichtsinnige oder mutwillige Prozessführung liegt aber so lange nicht vor, als es der Partei darum geht, einen bestimmten, nicht als willkürlich erscheinenden Standpunkt durch den Richter beurteilen zu lassen. Dies gilt auch dann, wenn der Richter die Partei im Laufe des Verfahrens von der Unrichtigkeit ihres Standpunktes überzeugen und zu einem entsprechenden Verhalten (Beschwerde- oder Klagerückzug) veranlassen will ( BGE 112 V 334 Erw. 5a mit Hinweisen).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 BGE 124 V 288 Erw. 3b). Mutwillige Prozessführung kann ferner darin begründet liegen, dass eine Partei eine ihr in dieser Eigenschaft obliegende Pflicht (Mitwirkungs- oder Unterlassungspflicht) verletzt. Der Verzicht, trotz gerichtlicher Mahnung, zu den Vorbringen in einer Klageschrift Stellung zu beziehen, vermag den Vorwurf der Mutwilligkeit allerdings nicht zu begründen ( BGE 124 V 288 Erw.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